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F9" w:rsidRPr="00E33424" w:rsidRDefault="003C70F9" w:rsidP="003C70F9">
      <w:pPr>
        <w:pStyle w:val="Nadpis6"/>
        <w:spacing w:line="240" w:lineRule="auto"/>
        <w:jc w:val="center"/>
        <w:rPr>
          <w:b/>
          <w:color w:val="1F497D"/>
          <w:szCs w:val="24"/>
        </w:rPr>
      </w:pPr>
      <w:r w:rsidRPr="00E33424">
        <w:rPr>
          <w:b/>
          <w:noProof/>
          <w:color w:val="1F497D"/>
          <w:szCs w:val="24"/>
          <w:lang w:eastAsia="cs-CZ"/>
        </w:rPr>
        <w:drawing>
          <wp:inline distT="0" distB="0" distL="0" distR="0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F9" w:rsidRPr="00E33424" w:rsidRDefault="003C70F9" w:rsidP="003C70F9">
      <w:pPr>
        <w:pStyle w:val="Nadpis6"/>
        <w:spacing w:line="240" w:lineRule="auto"/>
        <w:jc w:val="center"/>
        <w:rPr>
          <w:b/>
          <w:color w:val="1F497D"/>
          <w:szCs w:val="24"/>
        </w:rPr>
      </w:pPr>
    </w:p>
    <w:p w:rsidR="003C70F9" w:rsidRPr="00A57504" w:rsidRDefault="003C70F9" w:rsidP="003C70F9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0F9" w:rsidRPr="00A57504" w:rsidRDefault="003C70F9" w:rsidP="003C70F9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3C70F9" w:rsidRPr="00A57504" w:rsidRDefault="003C70F9" w:rsidP="003C70F9">
      <w:pPr>
        <w:tabs>
          <w:tab w:val="left" w:pos="1455"/>
        </w:tabs>
        <w:rPr>
          <w:rFonts w:asciiTheme="minorHAnsi" w:hAnsiTheme="minorHAnsi" w:cstheme="minorHAnsi"/>
          <w:color w:val="1F497D"/>
          <w:sz w:val="28"/>
          <w:szCs w:val="28"/>
        </w:rPr>
      </w:pPr>
    </w:p>
    <w:p w:rsidR="003C70F9" w:rsidRPr="00A57504" w:rsidRDefault="003C70F9" w:rsidP="003C70F9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27</w:t>
      </w: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3</w:t>
      </w: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 202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4</w:t>
      </w:r>
    </w:p>
    <w:p w:rsidR="003C70F9" w:rsidRPr="00E33424" w:rsidRDefault="003C70F9" w:rsidP="003C70F9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3C70F9" w:rsidRPr="00E33424" w:rsidRDefault="003C70F9" w:rsidP="003C70F9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3C70F9" w:rsidRPr="00F60E92" w:rsidRDefault="003C70F9" w:rsidP="003C70F9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Nemocnice Na Homolce, Roentgenova 2, 150 30 Praha 5</w:t>
      </w:r>
    </w:p>
    <w:p w:rsidR="003C70F9" w:rsidRPr="00F60E92" w:rsidRDefault="003C70F9" w:rsidP="003C70F9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http://www.homolka.cz</w:t>
      </w:r>
    </w:p>
    <w:p w:rsidR="003C70F9" w:rsidRPr="00F60E92" w:rsidRDefault="003C70F9" w:rsidP="003C70F9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3C70F9" w:rsidRPr="00F60E92" w:rsidRDefault="003C70F9" w:rsidP="003C70F9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277E66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Neurochirurgové z Nemocnice Na Homolce a neurologové z Neurologické kliniky 1. LF UK a VFN v Praze implantovali u pacientky s Parkinsonovou chorobou  metodou hluboké mozkové stimulace stimulační elektrodu do nového cíle v mozku. Výsledky jsou vynikající, pacientka je téměř bez potíží</w:t>
      </w: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.</w:t>
      </w:r>
      <w:bookmarkStart w:id="0" w:name="_GoBack"/>
      <w:bookmarkEnd w:id="0"/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:rsidR="003C70F9" w:rsidRDefault="003C70F9" w:rsidP="003C70F9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Léčba hlubokou mozkovou stimulací (DBS – Deep Brain Stimulation) pomáhá českým pacientům už </w:t>
      </w: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  </w:t>
      </w:r>
    </w:p>
    <w:p w:rsidR="003C70F9" w:rsidRDefault="003C70F9" w:rsidP="003C70F9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26 let. Centrum pro intervenční terapii motorických poruch (iTEMPO) v Praze spojuje lékaře z Neurologické kliniky 1. LF UK a VFN a z Oddělení stereotaktické a radiační neurochirurgie Nemocnice Na Homolce. Právě v tomto centru podstoupila pacientka s Parkinsonovou chorobou v únoru letošního roku operaci DBS se zacílením na novou oblast mozku, a to jako vůbec první v České republice.  </w:t>
      </w:r>
    </w:p>
    <w:p w:rsidR="003C70F9" w:rsidRPr="00277E66" w:rsidRDefault="003C70F9" w:rsidP="003C70F9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Hluboká mozková stimulace je neuromodulační léčebná metoda, kterou využíváme u vybraných pacientů s centrálními poruchami hybnosti (Parkinsonova nemoc, esenciální třes či dystonie) ve chvíli, kdy samotná farmakologická léčba již nedokáže zajistit optimální kompenzaci pohybového stavu.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Úspěch DBS souvisí s řadou klíčových kroků. Nejprve je nutný správný výběr a příprava potenciálního kandidáta. Následuje samotný operační výkon, kdy neurochirurg pomocí stereotaxe zavádí z minimálního přístupu a s milimetrovou přesností stimulační elektrodu do vybraného jádra v hloubi mozku. Elektroda je poté spojena kablíkem s generátorem elektrických pulzů (tzv. neurostimulátorem), který je podobně jako kardiostimulátor umístěn v podkoží podklíčkové oblasti. Stimulace se poprvé zapne přibližně měsíc po operaci. Poté  navazuje různě dlouhé období časného pooperační</w:t>
      </w: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ho</w:t>
      </w: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managementu (3-6 měsíců), kdy se postupně upravují stimulační parametry a farmakoterapie tak, aby se dosáhlo optimálního léčebného efektu DBS. Každý pacient s DBS je trvale a pravidelně ambulantně sledován a dle vývoje nemoci se stimulační parametry mohou dále modifikovat. Na celém DBS programu se podílí v rámci iTEMPO multioborový tým složený z neurologů, neurochirurgů, psychiatrů, psychologů a mnoha specializovaných nelékařských zdravotníků.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Parkinsonova nemoc je druhou nejčastější neurodegenerativní chorobou. S touto nemocí žije v České republice odhadem 30-50 tisíc pacientů.  DBS je indikována spíše v časnějších stádiích Parkinsonovy nemoci. Nejčastěji voleným anatomickým cílem v mozku pro stimulaci je subtalamické </w:t>
      </w: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lastRenderedPageBreak/>
        <w:t xml:space="preserve">jádro (STN). DBS STN má velmi dobrý efekt na všechny klasické příznaky Parkinsonovy nemoci: klidový třes, ztuhlost i zpomalenost pohybů.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Naše pacientka (62 let) nebyla pro implantaci do STN vhodná, protože měla některé obtíže, které se běžně u Parkinsonovy nemoci nevyskytují, a které bychom stimulací STN nemohly dostatečně ovlivnit. Šlo především o akční třes pravé horní končetiny, tzn. třes, který je největší při aktivním pohybu rukou, a významně tak ruší pohyb rukou při cílených činnostech (jídlo, pití, psaní). </w:t>
      </w: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Neurochirurgové a neurologové z obou pracovišť se proto rozhodli u pacientky s Parkinsonovou chorobou použít nový cíl – tzv. PSA (posterior subthalamic area), což je oblast bílé a šedé hmoty, o které dlouho panovala nej</w:t>
      </w: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istota, kam ji</w:t>
      </w: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anatomicky zařadit.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Proč tato netradiční oblast?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„PSA je unikátním místem propojujícím vetší množství mozkových struktur v hloubi mozku, které hrají roli v různých klinických příznacích poruch hybnosti. Z našeho hlediska bylo důležité, že předchozí výzkumy a zkušenosti ukazovaly, že DBS této oblasti by mohla významně ovlivnit kromě klasických příznaků Parkinsonovy nemoci právě i akční třes,“ vysvětluje neurochirurg MUDr. Jaromír May, Ph.D. z Oddělení stereotaktické a radiační neurochirurgie Nemocnice Na Homolce, který pacientce implantoval stimulátor i elektrodu do mozku.  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„Výsledky prvního nastavení a následné ambulantní kontroly dopadly neuvěřitelně dobře, pacientka prakticky žádné obtíže již nemá,“ řekl neurolog a vedoucí sekce DBS z Neurologické kliniky 1. LF UK a VFN v Praze MUDr. Filip Růžička, Ph.D., který pacientku k operaci indikoval. </w:t>
      </w: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3C70F9" w:rsidRPr="00277E66" w:rsidRDefault="003C70F9" w:rsidP="003C70F9">
      <w:pPr>
        <w:pStyle w:val="Normlnweb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77E66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„V rámci časné pooperačního managementu čekají pacientku další úpravy jak nastavení stimulace, tak farmakoterapie, ale již nyní je výsledek opravdu vynikající.“</w:t>
      </w:r>
    </w:p>
    <w:p w:rsidR="003C70F9" w:rsidRPr="00277E66" w:rsidRDefault="003C70F9" w:rsidP="003C70F9">
      <w:pPr>
        <w:jc w:val="both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Default="003C70F9" w:rsidP="003C70F9">
      <w:pPr>
        <w:jc w:val="both"/>
        <w:rPr>
          <w:bCs/>
          <w:color w:val="1F497D"/>
          <w:sz w:val="24"/>
          <w:szCs w:val="24"/>
        </w:rPr>
      </w:pPr>
    </w:p>
    <w:p w:rsidR="003C70F9" w:rsidRPr="00277E66" w:rsidRDefault="003C70F9" w:rsidP="003C70F9">
      <w:pPr>
        <w:jc w:val="both"/>
        <w:rPr>
          <w:rFonts w:asciiTheme="minorHAnsi" w:hAnsiTheme="minorHAnsi" w:cstheme="minorHAnsi"/>
          <w:bCs/>
          <w:color w:val="1F497D"/>
        </w:rPr>
      </w:pPr>
      <w:r w:rsidRPr="00277E66">
        <w:rPr>
          <w:rFonts w:asciiTheme="minorHAnsi" w:hAnsiTheme="minorHAnsi" w:cstheme="minorHAnsi"/>
          <w:bCs/>
          <w:color w:val="1F497D"/>
        </w:rPr>
        <w:t>Kontakt na tiskovou mluvčí Nemocnice Na Homolce:</w:t>
      </w:r>
    </w:p>
    <w:p w:rsidR="003C70F9" w:rsidRPr="00277E66" w:rsidRDefault="003C70F9" w:rsidP="003C70F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Mgr. Martina Dostálová</w:t>
      </w:r>
    </w:p>
    <w:p w:rsidR="003C70F9" w:rsidRPr="00277E66" w:rsidRDefault="003C70F9" w:rsidP="003C70F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tel.: +420 257 273 056</w:t>
      </w:r>
    </w:p>
    <w:p w:rsidR="003C70F9" w:rsidRPr="00277E66" w:rsidRDefault="003C70F9" w:rsidP="003C70F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mobil: +420 724 083 906</w:t>
      </w:r>
    </w:p>
    <w:p w:rsidR="003C70F9" w:rsidRPr="00277E66" w:rsidRDefault="003C70F9" w:rsidP="003C70F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lastRenderedPageBreak/>
        <w:t xml:space="preserve">e-mail: </w:t>
      </w:r>
      <w:hyperlink r:id="rId6" w:history="1">
        <w:r w:rsidRPr="00277E66">
          <w:rPr>
            <w:rStyle w:val="Hypertextovodkaz"/>
            <w:rFonts w:asciiTheme="minorHAnsi" w:eastAsia="SimSun" w:hAnsiTheme="minorHAnsi" w:cstheme="minorHAnsi"/>
          </w:rPr>
          <w:t>martina.dostalova@homolka.cz</w:t>
        </w:r>
      </w:hyperlink>
    </w:p>
    <w:p w:rsidR="003C70F9" w:rsidRPr="00277E66" w:rsidRDefault="003C70F9" w:rsidP="003C70F9">
      <w:pPr>
        <w:contextualSpacing/>
        <w:jc w:val="both"/>
        <w:rPr>
          <w:rFonts w:asciiTheme="minorHAnsi" w:hAnsiTheme="minorHAnsi" w:cstheme="minorHAnsi"/>
          <w:color w:val="2F5496"/>
        </w:rPr>
      </w:pPr>
    </w:p>
    <w:p w:rsidR="00E33F73" w:rsidRPr="003C70F9" w:rsidRDefault="00E33F73" w:rsidP="003C70F9"/>
    <w:sectPr w:rsidR="00E33F73" w:rsidRPr="003C70F9" w:rsidSect="0028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92A"/>
    <w:rsid w:val="00026046"/>
    <w:rsid w:val="00040395"/>
    <w:rsid w:val="000B2AB6"/>
    <w:rsid w:val="000B3CCD"/>
    <w:rsid w:val="00117628"/>
    <w:rsid w:val="00181231"/>
    <w:rsid w:val="001C771C"/>
    <w:rsid w:val="002851DB"/>
    <w:rsid w:val="002C098D"/>
    <w:rsid w:val="002C12CA"/>
    <w:rsid w:val="002F6768"/>
    <w:rsid w:val="0030588E"/>
    <w:rsid w:val="00370CBD"/>
    <w:rsid w:val="003C70F9"/>
    <w:rsid w:val="003D4187"/>
    <w:rsid w:val="004068D2"/>
    <w:rsid w:val="00411CCA"/>
    <w:rsid w:val="004175AA"/>
    <w:rsid w:val="0043534C"/>
    <w:rsid w:val="004452CC"/>
    <w:rsid w:val="004E7FFE"/>
    <w:rsid w:val="00561983"/>
    <w:rsid w:val="00597897"/>
    <w:rsid w:val="0069490D"/>
    <w:rsid w:val="00701EDE"/>
    <w:rsid w:val="007919FE"/>
    <w:rsid w:val="00797C81"/>
    <w:rsid w:val="007A390C"/>
    <w:rsid w:val="00805EC2"/>
    <w:rsid w:val="00831E2A"/>
    <w:rsid w:val="008628FE"/>
    <w:rsid w:val="008D4987"/>
    <w:rsid w:val="00913878"/>
    <w:rsid w:val="00941300"/>
    <w:rsid w:val="00976346"/>
    <w:rsid w:val="0097685A"/>
    <w:rsid w:val="00983666"/>
    <w:rsid w:val="00995472"/>
    <w:rsid w:val="009D44E5"/>
    <w:rsid w:val="009E1E93"/>
    <w:rsid w:val="009E2970"/>
    <w:rsid w:val="00A42E13"/>
    <w:rsid w:val="00A84D09"/>
    <w:rsid w:val="00AC3228"/>
    <w:rsid w:val="00AF34CB"/>
    <w:rsid w:val="00B25E42"/>
    <w:rsid w:val="00B7192A"/>
    <w:rsid w:val="00BE54EC"/>
    <w:rsid w:val="00C00B64"/>
    <w:rsid w:val="00C15F1C"/>
    <w:rsid w:val="00C532CD"/>
    <w:rsid w:val="00C66B59"/>
    <w:rsid w:val="00C7057A"/>
    <w:rsid w:val="00C76B09"/>
    <w:rsid w:val="00CB1721"/>
    <w:rsid w:val="00CD2BEC"/>
    <w:rsid w:val="00D03E93"/>
    <w:rsid w:val="00D33BF5"/>
    <w:rsid w:val="00DC5584"/>
    <w:rsid w:val="00DC5738"/>
    <w:rsid w:val="00E33F73"/>
    <w:rsid w:val="00E90954"/>
    <w:rsid w:val="00EC1D5E"/>
    <w:rsid w:val="00EC5859"/>
    <w:rsid w:val="00ED55AD"/>
    <w:rsid w:val="00EF04BF"/>
    <w:rsid w:val="00F24A93"/>
    <w:rsid w:val="00FD2F3E"/>
    <w:rsid w:val="00FE0F71"/>
    <w:rsid w:val="00F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58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70F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0588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588E"/>
    <w:rPr>
      <w:rFonts w:eastAsia="Calibri"/>
      <w:sz w:val="24"/>
      <w:szCs w:val="24"/>
    </w:rPr>
  </w:style>
  <w:style w:type="paragraph" w:styleId="Bezmezer">
    <w:name w:val="No Spacing"/>
    <w:uiPriority w:val="1"/>
    <w:qFormat/>
    <w:rsid w:val="0030588E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0588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58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C585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F185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5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472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0F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dostalova@homolk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Na Homolce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Perlíková Pavlína</dc:creator>
  <cp:lastModifiedBy>PC</cp:lastModifiedBy>
  <cp:revision>2</cp:revision>
  <cp:lastPrinted>2024-03-22T10:51:00Z</cp:lastPrinted>
  <dcterms:created xsi:type="dcterms:W3CDTF">2024-03-28T08:20:00Z</dcterms:created>
  <dcterms:modified xsi:type="dcterms:W3CDTF">2024-03-28T08:20:00Z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2024-03-22T09:05:46Z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c9d126fa-a1b5-47ea-ae0d-d034bb7d5775</vt:lpwstr>
  </property>
  <property fmtid="{D5CDD505-2E9C-101B-9397-08002B2CF9AE}" pid="8" name="MSIP_Label_2063cd7f-2d21-486a-9f29-9c1683fdd175_ContentBits">
    <vt:lpwstr>0</vt:lpwstr>
  </property>
</Properties>
</file>